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21C26" w14:textId="68EBDFFB" w:rsidR="008813DB" w:rsidRPr="008813DB" w:rsidRDefault="008813DB" w:rsidP="008813DB">
      <w:pPr>
        <w:spacing w:after="0" w:line="276" w:lineRule="auto"/>
        <w:jc w:val="center"/>
        <w:rPr>
          <w:rFonts w:ascii="Verdana" w:hAnsi="Verdana"/>
          <w:b/>
          <w:bCs/>
          <w:kern w:val="2"/>
          <w:sz w:val="40"/>
          <w:szCs w:val="40"/>
          <w:u w:val="single"/>
          <w14:ligatures w14:val="standardContextual"/>
        </w:rPr>
      </w:pPr>
      <w:r w:rsidRPr="008813DB">
        <w:rPr>
          <w:rFonts w:ascii="Verdana" w:hAnsi="Verdana"/>
          <w:b/>
          <w:bCs/>
          <w:kern w:val="2"/>
          <w:sz w:val="40"/>
          <w:szCs w:val="40"/>
          <w:u w:val="single"/>
          <w14:ligatures w14:val="standardContextual"/>
        </w:rPr>
        <w:t>Shabbos Kodesh – A Time of Courtship</w:t>
      </w:r>
    </w:p>
    <w:p w14:paraId="556E1273" w14:textId="77777777" w:rsidR="008813DB" w:rsidRDefault="008813DB" w:rsidP="007D0A3C">
      <w:pPr>
        <w:spacing w:after="0" w:line="276" w:lineRule="auto"/>
        <w:jc w:val="both"/>
        <w:rPr>
          <w:rFonts w:ascii="Verdana" w:hAnsi="Verdana"/>
          <w:b/>
          <w:bCs/>
          <w:kern w:val="2"/>
          <w:sz w:val="17"/>
          <w:szCs w:val="17"/>
          <w:u w:val="single"/>
          <w14:ligatures w14:val="standardContextual"/>
        </w:rPr>
        <w:sectPr w:rsidR="008813DB" w:rsidSect="008813DB">
          <w:headerReference w:type="default" r:id="rId6"/>
          <w:footerReference w:type="default" r:id="rId7"/>
          <w:pgSz w:w="12240" w:h="15840"/>
          <w:pgMar w:top="720" w:right="720" w:bottom="720" w:left="720" w:header="504" w:footer="504" w:gutter="0"/>
          <w:pgBorders w:offsetFrom="page">
            <w:top w:val="single" w:sz="24" w:space="24" w:color="auto"/>
            <w:left w:val="single" w:sz="24" w:space="24" w:color="auto"/>
            <w:bottom w:val="single" w:sz="24" w:space="24" w:color="auto"/>
            <w:right w:val="single" w:sz="24" w:space="24" w:color="auto"/>
          </w:pgBorders>
          <w:cols w:space="720"/>
          <w:docGrid w:linePitch="360"/>
        </w:sectPr>
      </w:pPr>
    </w:p>
    <w:p w14:paraId="15150ADA" w14:textId="696253F1" w:rsidR="007D0A3C" w:rsidRPr="008813DB" w:rsidRDefault="00FE4B8A" w:rsidP="008813DB">
      <w:pPr>
        <w:spacing w:after="20" w:line="286" w:lineRule="auto"/>
        <w:rPr>
          <w:rFonts w:ascii="Verdana" w:hAnsi="Verdana"/>
          <w:kern w:val="2"/>
          <w:sz w:val="17"/>
          <w:szCs w:val="17"/>
          <w14:ligatures w14:val="standardContextual"/>
        </w:rPr>
      </w:pPr>
      <w:r w:rsidRPr="008813DB">
        <w:rPr>
          <w:rFonts w:ascii="Verdana" w:hAnsi="Verdana"/>
          <w:b/>
          <w:bCs/>
          <w:noProof/>
          <w:sz w:val="17"/>
          <w:szCs w:val="17"/>
          <w:u w:val="single"/>
        </w:rPr>
        <w:drawing>
          <wp:anchor distT="0" distB="0" distL="114300" distR="114300" simplePos="0" relativeHeight="251659264" behindDoc="0" locked="0" layoutInCell="1" allowOverlap="1" wp14:anchorId="6185869E" wp14:editId="22B59A6B">
            <wp:simplePos x="0" y="0"/>
            <wp:positionH relativeFrom="margin">
              <wp:align>left</wp:align>
            </wp:positionH>
            <wp:positionV relativeFrom="paragraph">
              <wp:posOffset>0</wp:posOffset>
            </wp:positionV>
            <wp:extent cx="990600" cy="7143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90600" cy="714375"/>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0" w:name="_Hlk132845154"/>
      <w:r w:rsidR="00E0053E" w:rsidRPr="008813DB">
        <w:rPr>
          <w:rFonts w:ascii="Verdana" w:hAnsi="Verdana"/>
          <w:b/>
          <w:bCs/>
          <w:kern w:val="2"/>
          <w:sz w:val="17"/>
          <w:szCs w:val="17"/>
          <w:u w:val="single"/>
          <w14:ligatures w14:val="standardContextual"/>
        </w:rPr>
        <w:t>Parshas Hachodesh – Shemos Rabbah 15:31 “</w:t>
      </w:r>
      <w:r w:rsidR="00E0053E" w:rsidRPr="008813DB">
        <w:rPr>
          <w:rFonts w:ascii="Verdana" w:hAnsi="Verdana"/>
          <w:b/>
          <w:bCs/>
          <w:kern w:val="2"/>
          <w:sz w:val="17"/>
          <w:szCs w:val="17"/>
          <w:u w:val="single"/>
          <w:rtl/>
          <w14:ligatures w14:val="standardContextual"/>
        </w:rPr>
        <w:t>החודש הזה לכם</w:t>
      </w:r>
      <w:r w:rsidR="00E0053E" w:rsidRPr="008813DB">
        <w:rPr>
          <w:rFonts w:ascii="Verdana" w:hAnsi="Verdana"/>
          <w:b/>
          <w:bCs/>
          <w:kern w:val="2"/>
          <w:sz w:val="17"/>
          <w:szCs w:val="17"/>
          <w:u w:val="single"/>
          <w14:ligatures w14:val="standardContextual"/>
        </w:rPr>
        <w:t>”</w:t>
      </w:r>
    </w:p>
    <w:p w14:paraId="70C6D4DE" w14:textId="36AA1A54" w:rsidR="007E3948" w:rsidRPr="008813DB" w:rsidRDefault="00E0053E" w:rsidP="008813DB">
      <w:pPr>
        <w:spacing w:after="120" w:line="286" w:lineRule="auto"/>
        <w:jc w:val="both"/>
        <w:rPr>
          <w:rFonts w:ascii="Verdana" w:eastAsia="Calibri" w:hAnsi="Verdana" w:cs="Arial"/>
          <w:sz w:val="17"/>
          <w:szCs w:val="17"/>
          <w:lang w:bidi="ar-SA"/>
        </w:rPr>
      </w:pPr>
      <w:r w:rsidRPr="008813DB">
        <w:rPr>
          <w:rFonts w:ascii="Verdana" w:hAnsi="Verdana"/>
          <w:kern w:val="2"/>
          <w:sz w:val="17"/>
          <w:szCs w:val="17"/>
          <w14:ligatures w14:val="standardContextual"/>
        </w:rPr>
        <w:t xml:space="preserve">“This month shall be for you.” </w:t>
      </w:r>
      <w:bookmarkEnd w:id="0"/>
      <w:r w:rsidRPr="008813DB">
        <w:rPr>
          <w:rFonts w:ascii="Verdana" w:hAnsi="Verdana"/>
          <w:kern w:val="2"/>
          <w:sz w:val="17"/>
          <w:szCs w:val="17"/>
          <w14:ligatures w14:val="standardContextual"/>
        </w:rPr>
        <w:t xml:space="preserve">This can be compared to a king who betrothed a woman, and wrote an agreement pledging to give her </w:t>
      </w:r>
      <w:r w:rsidR="00CA4766" w:rsidRPr="008813DB">
        <w:rPr>
          <w:rFonts w:ascii="Verdana" w:hAnsi="Verdana"/>
          <w:kern w:val="2"/>
          <w:sz w:val="17"/>
          <w:szCs w:val="17"/>
          <w14:ligatures w14:val="standardContextual"/>
        </w:rPr>
        <w:t xml:space="preserve">only </w:t>
      </w:r>
      <w:r w:rsidRPr="008813DB">
        <w:rPr>
          <w:rFonts w:ascii="Verdana" w:hAnsi="Verdana"/>
          <w:kern w:val="2"/>
          <w:sz w:val="17"/>
          <w:szCs w:val="17"/>
          <w14:ligatures w14:val="standardContextual"/>
        </w:rPr>
        <w:t>a few gifts. When he was about to take her in marriage to be his wife, he wrote another agreement pledging to give her many gifts, as befitting a husband to a wife. Similarly, in this world, the relationship between Hakodosh Baruch Hu and Klal Yisroel is likened to that of a betrothal, as the Posuk in Hoshea 2:21 says, “</w:t>
      </w:r>
      <w:r w:rsidRPr="008813DB">
        <w:rPr>
          <w:rFonts w:ascii="Verdana" w:hAnsi="Verdana"/>
          <w:kern w:val="2"/>
          <w:sz w:val="17"/>
          <w:szCs w:val="17"/>
          <w:rtl/>
          <w14:ligatures w14:val="standardContextual"/>
        </w:rPr>
        <w:t>וארשתיך לי לעולם</w:t>
      </w:r>
      <w:r w:rsidRPr="008813DB">
        <w:rPr>
          <w:rFonts w:ascii="Verdana" w:hAnsi="Verdana"/>
          <w:kern w:val="2"/>
          <w:sz w:val="17"/>
          <w:szCs w:val="17"/>
          <w14:ligatures w14:val="standardContextual"/>
        </w:rPr>
        <w:t xml:space="preserve">” – “I will betroth you to Me forever.” What is the meaning of this Midrash? </w:t>
      </w:r>
    </w:p>
    <w:p w14:paraId="087335AB" w14:textId="77777777" w:rsidR="008813DB" w:rsidRDefault="004829F8" w:rsidP="008813DB">
      <w:pPr>
        <w:spacing w:after="120" w:line="286" w:lineRule="auto"/>
        <w:ind w:firstLine="720"/>
        <w:jc w:val="both"/>
        <w:rPr>
          <w:rFonts w:ascii="Verdana" w:eastAsia="Times New Roman" w:hAnsi="Verdana"/>
          <w:sz w:val="17"/>
          <w:szCs w:val="17"/>
        </w:rPr>
      </w:pPr>
      <w:r w:rsidRPr="008813DB">
        <w:rPr>
          <w:rFonts w:ascii="Verdana" w:eastAsia="Times New Roman" w:hAnsi="Verdana"/>
          <w:b/>
          <w:bCs/>
          <w:sz w:val="17"/>
          <w:szCs w:val="17"/>
        </w:rPr>
        <w:t>The Zohar Hakodosh says that during the weekdays</w:t>
      </w:r>
      <w:r w:rsidR="00E66DF1" w:rsidRPr="008813DB">
        <w:rPr>
          <w:rFonts w:ascii="Verdana" w:eastAsia="Times New Roman" w:hAnsi="Verdana"/>
          <w:b/>
          <w:bCs/>
          <w:sz w:val="17"/>
          <w:szCs w:val="17"/>
        </w:rPr>
        <w:t>,</w:t>
      </w:r>
      <w:r w:rsidRPr="008813DB">
        <w:rPr>
          <w:rFonts w:ascii="Verdana" w:eastAsia="Times New Roman" w:hAnsi="Verdana"/>
          <w:b/>
          <w:bCs/>
          <w:sz w:val="17"/>
          <w:szCs w:val="17"/>
        </w:rPr>
        <w:t xml:space="preserve"> the connection to Hakodosh Baruch Hu is through the Malach </w:t>
      </w:r>
      <w:r w:rsidRPr="008813DB">
        <w:rPr>
          <w:rFonts w:ascii="Verdana" w:eastAsia="Times New Roman" w:hAnsi="Verdana"/>
          <w:b/>
          <w:bCs/>
          <w:sz w:val="17"/>
          <w:szCs w:val="17"/>
          <w:rtl/>
        </w:rPr>
        <w:t>מט"ט</w:t>
      </w:r>
      <w:r w:rsidRPr="008813DB">
        <w:rPr>
          <w:rFonts w:ascii="Verdana" w:eastAsia="Times New Roman" w:hAnsi="Verdana"/>
          <w:b/>
          <w:bCs/>
          <w:sz w:val="17"/>
          <w:szCs w:val="17"/>
        </w:rPr>
        <w:t>, but on Shabbos Kodesh it is through the Tzaddik</w:t>
      </w:r>
      <w:r w:rsidR="00E66DF1" w:rsidRPr="008813DB">
        <w:rPr>
          <w:rFonts w:ascii="Verdana" w:eastAsia="Times New Roman" w:hAnsi="Verdana"/>
          <w:b/>
          <w:bCs/>
          <w:sz w:val="17"/>
          <w:szCs w:val="17"/>
        </w:rPr>
        <w:t>;</w:t>
      </w:r>
      <w:r w:rsidRPr="008813DB">
        <w:rPr>
          <w:rFonts w:ascii="Verdana" w:eastAsia="Times New Roman" w:hAnsi="Verdana"/>
          <w:b/>
          <w:bCs/>
          <w:sz w:val="17"/>
          <w:szCs w:val="17"/>
        </w:rPr>
        <w:t xml:space="preserve"> it is a direct connection. This is why before we recite Kiddush on Leil Shabbos Kodesh we say, “</w:t>
      </w:r>
      <w:r w:rsidRPr="008813DB">
        <w:rPr>
          <w:rFonts w:ascii="Verdana" w:eastAsia="Times New Roman" w:hAnsi="Verdana"/>
          <w:b/>
          <w:bCs/>
          <w:sz w:val="17"/>
          <w:szCs w:val="17"/>
          <w:rtl/>
        </w:rPr>
        <w:t>צאתכם לשלום</w:t>
      </w:r>
      <w:r w:rsidRPr="008813DB">
        <w:rPr>
          <w:rFonts w:ascii="Verdana" w:eastAsia="Times New Roman" w:hAnsi="Verdana"/>
          <w:b/>
          <w:bCs/>
          <w:sz w:val="17"/>
          <w:szCs w:val="17"/>
        </w:rPr>
        <w:t>” – we say goodbye to the Malachim, to show that on this holy day</w:t>
      </w:r>
      <w:r w:rsidR="00E66DF1" w:rsidRPr="008813DB">
        <w:rPr>
          <w:rFonts w:ascii="Verdana" w:eastAsia="Times New Roman" w:hAnsi="Verdana"/>
          <w:b/>
          <w:bCs/>
          <w:sz w:val="17"/>
          <w:szCs w:val="17"/>
        </w:rPr>
        <w:t>,</w:t>
      </w:r>
      <w:r w:rsidRPr="008813DB">
        <w:rPr>
          <w:rFonts w:ascii="Verdana" w:eastAsia="Times New Roman" w:hAnsi="Verdana"/>
          <w:b/>
          <w:bCs/>
          <w:sz w:val="17"/>
          <w:szCs w:val="17"/>
        </w:rPr>
        <w:t xml:space="preserve"> we do not need Malachim as intermediaries for us, rather we have a direct connection.</w:t>
      </w:r>
      <w:r w:rsidRPr="008813DB">
        <w:rPr>
          <w:rFonts w:ascii="Verdana" w:eastAsia="Times New Roman" w:hAnsi="Verdana"/>
          <w:sz w:val="17"/>
          <w:szCs w:val="17"/>
        </w:rPr>
        <w:t xml:space="preserve"> </w:t>
      </w:r>
    </w:p>
    <w:p w14:paraId="5A4455EA" w14:textId="7C3B4280" w:rsidR="004829F8" w:rsidRPr="008813DB" w:rsidRDefault="004829F8" w:rsidP="008813DB">
      <w:pPr>
        <w:spacing w:after="0" w:line="286" w:lineRule="auto"/>
        <w:ind w:firstLine="720"/>
        <w:jc w:val="both"/>
        <w:rPr>
          <w:rFonts w:ascii="Verdana" w:eastAsia="Times New Roman" w:hAnsi="Verdana"/>
          <w:sz w:val="17"/>
          <w:szCs w:val="17"/>
        </w:rPr>
      </w:pPr>
      <w:r w:rsidRPr="008813DB">
        <w:rPr>
          <w:rFonts w:ascii="Verdana" w:eastAsia="Times New Roman" w:hAnsi="Verdana"/>
          <w:sz w:val="17"/>
          <w:szCs w:val="17"/>
        </w:rPr>
        <w:t xml:space="preserve">Rashi says in 31:15 that Shabbos is </w:t>
      </w:r>
      <w:r w:rsidRPr="008813DB">
        <w:rPr>
          <w:rFonts w:ascii="Verdana" w:eastAsia="Times New Roman" w:hAnsi="Verdana"/>
          <w:sz w:val="17"/>
          <w:szCs w:val="17"/>
          <w:rtl/>
        </w:rPr>
        <w:t>מנחות מרגוע ולא מנוחת עראי</w:t>
      </w:r>
      <w:r w:rsidRPr="008813DB">
        <w:rPr>
          <w:rFonts w:ascii="Verdana" w:eastAsia="Times New Roman" w:hAnsi="Verdana"/>
          <w:sz w:val="17"/>
          <w:szCs w:val="17"/>
        </w:rPr>
        <w:t xml:space="preserve"> – a relaxing rest, and not a temporary rest. We know that we sit i</w:t>
      </w:r>
      <w:r w:rsidR="004E52C1" w:rsidRPr="008813DB">
        <w:rPr>
          <w:rFonts w:ascii="Verdana" w:eastAsia="Times New Roman" w:hAnsi="Verdana"/>
          <w:sz w:val="17"/>
          <w:szCs w:val="17"/>
        </w:rPr>
        <w:t>n</w:t>
      </w:r>
      <w:r w:rsidRPr="008813DB">
        <w:rPr>
          <w:rFonts w:ascii="Verdana" w:eastAsia="Times New Roman" w:hAnsi="Verdana"/>
          <w:sz w:val="17"/>
          <w:szCs w:val="17"/>
        </w:rPr>
        <w:t xml:space="preserve"> a </w:t>
      </w:r>
      <w:r w:rsidRPr="008813DB">
        <w:rPr>
          <w:rFonts w:ascii="Verdana" w:eastAsia="Times New Roman" w:hAnsi="Verdana"/>
          <w:sz w:val="17"/>
          <w:szCs w:val="17"/>
          <w:rtl/>
        </w:rPr>
        <w:t>דירת עראי</w:t>
      </w:r>
      <w:r w:rsidRPr="008813DB">
        <w:rPr>
          <w:rFonts w:ascii="Verdana" w:eastAsia="Times New Roman" w:hAnsi="Verdana"/>
          <w:sz w:val="17"/>
          <w:szCs w:val="17"/>
        </w:rPr>
        <w:t xml:space="preserve">, a temporary dwelling for seven days of </w:t>
      </w:r>
      <w:r w:rsidR="004E52C1" w:rsidRPr="008813DB">
        <w:rPr>
          <w:rFonts w:ascii="Verdana" w:eastAsia="Times New Roman" w:hAnsi="Verdana"/>
          <w:sz w:val="17"/>
          <w:szCs w:val="17"/>
        </w:rPr>
        <w:t>Sukkos</w:t>
      </w:r>
      <w:r w:rsidRPr="008813DB">
        <w:rPr>
          <w:rFonts w:ascii="Verdana" w:eastAsia="Times New Roman" w:hAnsi="Verdana"/>
          <w:sz w:val="17"/>
          <w:szCs w:val="17"/>
        </w:rPr>
        <w:t xml:space="preserve"> – it is called a temporary dwelling. If so, how can we call having one day a week, Shabbos Kodesh,</w:t>
      </w:r>
      <w:r w:rsidR="004E52C1" w:rsidRPr="008813DB">
        <w:rPr>
          <w:rFonts w:ascii="Verdana" w:eastAsia="Times New Roman" w:hAnsi="Verdana"/>
          <w:sz w:val="17"/>
          <w:szCs w:val="17"/>
        </w:rPr>
        <w:t xml:space="preserve"> and</w:t>
      </w:r>
      <w:r w:rsidRPr="008813DB">
        <w:rPr>
          <w:rFonts w:ascii="Verdana" w:eastAsia="Times New Roman" w:hAnsi="Verdana"/>
          <w:sz w:val="17"/>
          <w:szCs w:val="17"/>
        </w:rPr>
        <w:t xml:space="preserve"> not consider it temporary? When Shabbos Kodesh comes, </w:t>
      </w:r>
      <w:proofErr w:type="spellStart"/>
      <w:r w:rsidRPr="008813DB">
        <w:rPr>
          <w:rFonts w:ascii="Verdana" w:eastAsia="Times New Roman" w:hAnsi="Verdana"/>
          <w:sz w:val="17"/>
          <w:szCs w:val="17"/>
        </w:rPr>
        <w:t>Melacha</w:t>
      </w:r>
      <w:proofErr w:type="spellEnd"/>
      <w:r w:rsidRPr="008813DB">
        <w:rPr>
          <w:rFonts w:ascii="Verdana" w:eastAsia="Times New Roman" w:hAnsi="Verdana"/>
          <w:sz w:val="17"/>
          <w:szCs w:val="17"/>
        </w:rPr>
        <w:t>, work, is forbidden forever, for Shabbos is the day of the Neshama – just as the Neshama does not have physical work to do, so too when Shabbos comes</w:t>
      </w:r>
      <w:r w:rsidR="00E66DF1" w:rsidRPr="008813DB">
        <w:rPr>
          <w:rFonts w:ascii="Verdana" w:eastAsia="Times New Roman" w:hAnsi="Verdana"/>
          <w:sz w:val="17"/>
          <w:szCs w:val="17"/>
        </w:rPr>
        <w:t>,</w:t>
      </w:r>
      <w:r w:rsidRPr="008813DB">
        <w:rPr>
          <w:rFonts w:ascii="Verdana" w:eastAsia="Times New Roman" w:hAnsi="Verdana"/>
          <w:sz w:val="17"/>
          <w:szCs w:val="17"/>
        </w:rPr>
        <w:t xml:space="preserve"> there is absolutely no work to be done. This is as Chazal tell us, </w:t>
      </w:r>
      <w:r w:rsidRPr="008813DB">
        <w:rPr>
          <w:rFonts w:ascii="Verdana" w:eastAsia="Times New Roman" w:hAnsi="Verdana"/>
          <w:sz w:val="17"/>
          <w:szCs w:val="17"/>
          <w:rtl/>
        </w:rPr>
        <w:t>כאילו כל מלאכתך עשויה</w:t>
      </w:r>
      <w:r w:rsidRPr="008813DB">
        <w:rPr>
          <w:rFonts w:ascii="Verdana" w:eastAsia="Times New Roman" w:hAnsi="Verdana"/>
          <w:sz w:val="17"/>
          <w:szCs w:val="17"/>
        </w:rPr>
        <w:t xml:space="preserve"> – it is like all your work is done for you</w:t>
      </w:r>
      <w:r w:rsidR="00E66DF1" w:rsidRPr="008813DB">
        <w:rPr>
          <w:rFonts w:ascii="Verdana" w:eastAsia="Times New Roman" w:hAnsi="Verdana"/>
          <w:sz w:val="17"/>
          <w:szCs w:val="17"/>
        </w:rPr>
        <w:t>;</w:t>
      </w:r>
      <w:r w:rsidRPr="008813DB">
        <w:rPr>
          <w:rFonts w:ascii="Verdana" w:eastAsia="Times New Roman" w:hAnsi="Verdana"/>
          <w:sz w:val="17"/>
          <w:szCs w:val="17"/>
        </w:rPr>
        <w:t xml:space="preserve"> you have no work to do. </w:t>
      </w:r>
      <w:proofErr w:type="gramStart"/>
      <w:r w:rsidRPr="008813DB">
        <w:rPr>
          <w:rFonts w:ascii="Verdana" w:eastAsia="Times New Roman" w:hAnsi="Verdana"/>
          <w:sz w:val="17"/>
          <w:szCs w:val="17"/>
        </w:rPr>
        <w:t>However</w:t>
      </w:r>
      <w:proofErr w:type="gramEnd"/>
      <w:r w:rsidRPr="008813DB">
        <w:rPr>
          <w:rFonts w:ascii="Verdana" w:eastAsia="Times New Roman" w:hAnsi="Verdana"/>
          <w:sz w:val="17"/>
          <w:szCs w:val="17"/>
        </w:rPr>
        <w:t xml:space="preserve"> when Shabbos Kodesh leaves, it is like one is removed from that world of Shabbos Kodesh, and in this new world of the weekdays, </w:t>
      </w:r>
      <w:proofErr w:type="spellStart"/>
      <w:r w:rsidRPr="008813DB">
        <w:rPr>
          <w:rFonts w:ascii="Verdana" w:eastAsia="Times New Roman" w:hAnsi="Verdana"/>
          <w:sz w:val="17"/>
          <w:szCs w:val="17"/>
        </w:rPr>
        <w:t>Melacha</w:t>
      </w:r>
      <w:proofErr w:type="spellEnd"/>
      <w:r w:rsidRPr="008813DB">
        <w:rPr>
          <w:rFonts w:ascii="Verdana" w:eastAsia="Times New Roman" w:hAnsi="Verdana"/>
          <w:sz w:val="17"/>
          <w:szCs w:val="17"/>
        </w:rPr>
        <w:t xml:space="preserve"> is permitted. </w:t>
      </w:r>
    </w:p>
    <w:p w14:paraId="12AD378E" w14:textId="77777777" w:rsidR="00E66DF1" w:rsidRPr="008813DB" w:rsidRDefault="004829F8" w:rsidP="008813DB">
      <w:pPr>
        <w:spacing w:after="0" w:line="286" w:lineRule="auto"/>
        <w:jc w:val="both"/>
        <w:rPr>
          <w:rFonts w:ascii="Verdana" w:hAnsi="Verdana"/>
          <w:kern w:val="2"/>
          <w:sz w:val="17"/>
          <w:szCs w:val="17"/>
          <w14:ligatures w14:val="standardContextual"/>
        </w:rPr>
      </w:pPr>
      <w:r w:rsidRPr="008813DB">
        <w:rPr>
          <w:rFonts w:ascii="Verdana" w:hAnsi="Verdana"/>
          <w:b/>
          <w:bCs/>
          <w:sz w:val="17"/>
          <w:szCs w:val="17"/>
        </w:rPr>
        <w:tab/>
      </w:r>
      <w:r w:rsidRPr="008813DB">
        <w:rPr>
          <w:rFonts w:ascii="Verdana" w:hAnsi="Verdana"/>
          <w:kern w:val="2"/>
          <w:sz w:val="17"/>
          <w:szCs w:val="17"/>
          <w14:ligatures w14:val="standardContextual"/>
        </w:rPr>
        <w:t>Shemos Rabbah 15:31 “</w:t>
      </w:r>
      <w:r w:rsidRPr="008813DB">
        <w:rPr>
          <w:rFonts w:ascii="Verdana" w:hAnsi="Verdana"/>
          <w:kern w:val="2"/>
          <w:sz w:val="17"/>
          <w:szCs w:val="17"/>
          <w:rtl/>
          <w14:ligatures w14:val="standardContextual"/>
        </w:rPr>
        <w:t>החודש הזה לכם</w:t>
      </w:r>
      <w:r w:rsidRPr="008813DB">
        <w:rPr>
          <w:rFonts w:ascii="Verdana" w:hAnsi="Verdana"/>
          <w:kern w:val="2"/>
          <w:sz w:val="17"/>
          <w:szCs w:val="17"/>
          <w14:ligatures w14:val="standardContextual"/>
        </w:rPr>
        <w:t xml:space="preserve">” – “This month shall be for you.” This can be compared to a king who betrothed a woman, and wrote an agreement pledging to give her </w:t>
      </w:r>
      <w:r w:rsidR="00CA4766" w:rsidRPr="008813DB">
        <w:rPr>
          <w:rFonts w:ascii="Verdana" w:hAnsi="Verdana"/>
          <w:kern w:val="2"/>
          <w:sz w:val="17"/>
          <w:szCs w:val="17"/>
          <w14:ligatures w14:val="standardContextual"/>
        </w:rPr>
        <w:t xml:space="preserve">only </w:t>
      </w:r>
      <w:r w:rsidRPr="008813DB">
        <w:rPr>
          <w:rFonts w:ascii="Verdana" w:hAnsi="Verdana"/>
          <w:kern w:val="2"/>
          <w:sz w:val="17"/>
          <w:szCs w:val="17"/>
          <w14:ligatures w14:val="standardContextual"/>
        </w:rPr>
        <w:t>a few gifts. When he was about to take her in marriage to be his wife, he wrote another agreement pledging to give her many gifts, as befitting a husband to a wife. Similarly, in this world, the relationship between Hakodosh Baruch Hu and Klal Yisroel is likened to that of a betrothal, as the Posuk in Hoshea 2:21 says, “</w:t>
      </w:r>
      <w:r w:rsidRPr="008813DB">
        <w:rPr>
          <w:rFonts w:ascii="Verdana" w:hAnsi="Verdana"/>
          <w:kern w:val="2"/>
          <w:sz w:val="17"/>
          <w:szCs w:val="17"/>
          <w:rtl/>
          <w14:ligatures w14:val="standardContextual"/>
        </w:rPr>
        <w:t>וארשתיך לי לעולם</w:t>
      </w:r>
      <w:r w:rsidRPr="008813DB">
        <w:rPr>
          <w:rFonts w:ascii="Verdana" w:hAnsi="Verdana"/>
          <w:kern w:val="2"/>
          <w:sz w:val="17"/>
          <w:szCs w:val="17"/>
          <w14:ligatures w14:val="standardContextual"/>
        </w:rPr>
        <w:t>” – “I will betroth you to Me forever.” Hakodosh Baruch Hu only gave Klal Yisroel, “little gifts”, they were given jurisdiction over the moon, as it says in the Posuk, “</w:t>
      </w:r>
      <w:r w:rsidRPr="008813DB">
        <w:rPr>
          <w:rFonts w:ascii="Verdana" w:hAnsi="Verdana"/>
          <w:kern w:val="2"/>
          <w:sz w:val="17"/>
          <w:szCs w:val="17"/>
          <w:rtl/>
          <w14:ligatures w14:val="standardContextual"/>
        </w:rPr>
        <w:t>החודש הזה לכם</w:t>
      </w:r>
      <w:r w:rsidRPr="008813DB">
        <w:rPr>
          <w:rFonts w:ascii="Verdana" w:hAnsi="Verdana"/>
          <w:kern w:val="2"/>
          <w:sz w:val="17"/>
          <w:szCs w:val="17"/>
          <w14:ligatures w14:val="standardContextual"/>
        </w:rPr>
        <w:t>”. However, in the days of Mashiach, when the relationship between Hakodosh Baruch Hu and Klal Yisroel will be likened to that of marriage, as it says in the Posuk in Hoshea 54:5 “</w:t>
      </w:r>
      <w:r w:rsidRPr="008813DB">
        <w:rPr>
          <w:rFonts w:ascii="Verdana" w:hAnsi="Verdana"/>
          <w:kern w:val="2"/>
          <w:sz w:val="17"/>
          <w:szCs w:val="17"/>
          <w:rtl/>
          <w14:ligatures w14:val="standardContextual"/>
        </w:rPr>
        <w:t>כי בעליך עשיך</w:t>
      </w:r>
      <w:r w:rsidRPr="008813DB">
        <w:rPr>
          <w:rFonts w:ascii="Verdana" w:hAnsi="Verdana"/>
          <w:kern w:val="2"/>
          <w:sz w:val="17"/>
          <w:szCs w:val="17"/>
          <w14:ligatures w14:val="standardContextual"/>
        </w:rPr>
        <w:t>” – “For your Husband is your Maker” – at that time</w:t>
      </w:r>
      <w:r w:rsidR="00E66DF1" w:rsidRPr="008813DB">
        <w:rPr>
          <w:rFonts w:ascii="Verdana" w:hAnsi="Verdana"/>
          <w:kern w:val="2"/>
          <w:sz w:val="17"/>
          <w:szCs w:val="17"/>
          <w14:ligatures w14:val="standardContextual"/>
        </w:rPr>
        <w:t>,</w:t>
      </w:r>
      <w:r w:rsidRPr="008813DB">
        <w:rPr>
          <w:rFonts w:ascii="Verdana" w:hAnsi="Verdana"/>
          <w:kern w:val="2"/>
          <w:sz w:val="17"/>
          <w:szCs w:val="17"/>
          <w14:ligatures w14:val="standardContextual"/>
        </w:rPr>
        <w:t xml:space="preserve"> Hashem will grant Klal Yisroel jurisdiction over all the celestial bodies, as it says in the Posuk in Daniel 12:3 “</w:t>
      </w:r>
      <w:r w:rsidRPr="008813DB">
        <w:rPr>
          <w:rFonts w:ascii="Verdana" w:hAnsi="Verdana"/>
          <w:kern w:val="2"/>
          <w:sz w:val="17"/>
          <w:szCs w:val="17"/>
          <w:rtl/>
          <w14:ligatures w14:val="standardContextual"/>
        </w:rPr>
        <w:t>והמשכילים יזהרו כזוהר הרקיע ומצדיקי הרבים ככוכבים לעולם ועד</w:t>
      </w:r>
      <w:r w:rsidRPr="008813DB">
        <w:rPr>
          <w:rFonts w:ascii="Verdana" w:hAnsi="Verdana"/>
          <w:kern w:val="2"/>
          <w:sz w:val="17"/>
          <w:szCs w:val="17"/>
          <w14:ligatures w14:val="standardContextual"/>
        </w:rPr>
        <w:t xml:space="preserve">” – “The wise will shine like the radiance of the firmament, and those who teach righteousness to the multitudes will shine like the stars, forever and ever.” </w:t>
      </w:r>
    </w:p>
    <w:p w14:paraId="08B2FBAE" w14:textId="69879D5F" w:rsidR="00A5058D" w:rsidRPr="008813DB" w:rsidRDefault="004829F8" w:rsidP="008813DB">
      <w:pPr>
        <w:spacing w:after="0" w:line="286" w:lineRule="auto"/>
        <w:ind w:firstLine="720"/>
        <w:jc w:val="both"/>
        <w:rPr>
          <w:rFonts w:ascii="Verdana" w:hAnsi="Verdana"/>
          <w:kern w:val="2"/>
          <w:sz w:val="17"/>
          <w:szCs w:val="17"/>
          <w14:ligatures w14:val="standardContextual"/>
        </w:rPr>
      </w:pPr>
      <w:r w:rsidRPr="008813DB">
        <w:rPr>
          <w:rFonts w:ascii="Verdana" w:hAnsi="Verdana"/>
          <w:kern w:val="2"/>
          <w:sz w:val="17"/>
          <w:szCs w:val="17"/>
          <w14:ligatures w14:val="standardContextual"/>
        </w:rPr>
        <w:t xml:space="preserve">In the beginning of Meseches Kiddushin 2b it says that when a man is Mekadesh a woman, he is making her forbidden to the entire world like Hekdesh. Tosfos says that using the Leshonos of </w:t>
      </w:r>
      <w:r w:rsidRPr="008813DB">
        <w:rPr>
          <w:rFonts w:ascii="Verdana" w:hAnsi="Verdana"/>
          <w:kern w:val="2"/>
          <w:sz w:val="17"/>
          <w:szCs w:val="17"/>
          <w:rtl/>
          <w14:ligatures w14:val="standardContextual"/>
        </w:rPr>
        <w:t>מקודשת לי, מיוחדת לי, ומזומנת לי</w:t>
      </w:r>
      <w:r w:rsidRPr="008813DB">
        <w:rPr>
          <w:rFonts w:ascii="Verdana" w:hAnsi="Verdana"/>
          <w:kern w:val="2"/>
          <w:sz w:val="17"/>
          <w:szCs w:val="17"/>
          <w14:ligatures w14:val="standardContextual"/>
        </w:rPr>
        <w:t xml:space="preserve"> – all of these represent the same concept, that the woman is for this specific man only, and not anyone else. Similarly, </w:t>
      </w:r>
      <w:r w:rsidRPr="008813DB">
        <w:rPr>
          <w:rFonts w:ascii="Verdana" w:hAnsi="Verdana"/>
          <w:b/>
          <w:bCs/>
          <w:kern w:val="2"/>
          <w:sz w:val="17"/>
          <w:szCs w:val="17"/>
          <w14:ligatures w14:val="standardContextual"/>
        </w:rPr>
        <w:t>when we recite a Bracha we say, “</w:t>
      </w:r>
      <w:r w:rsidRPr="008813DB">
        <w:rPr>
          <w:rFonts w:ascii="Verdana" w:hAnsi="Verdana"/>
          <w:b/>
          <w:bCs/>
          <w:kern w:val="2"/>
          <w:sz w:val="17"/>
          <w:szCs w:val="17"/>
          <w:rtl/>
          <w14:ligatures w14:val="standardContextual"/>
        </w:rPr>
        <w:t>אשר קדשנו במצותיו</w:t>
      </w:r>
      <w:r w:rsidRPr="008813DB">
        <w:rPr>
          <w:rFonts w:ascii="Verdana" w:hAnsi="Verdana"/>
          <w:b/>
          <w:bCs/>
          <w:kern w:val="2"/>
          <w:sz w:val="17"/>
          <w:szCs w:val="17"/>
          <w14:ligatures w14:val="standardContextual"/>
        </w:rPr>
        <w:t>” – we are saying that we are sanctified to Hakodosh Baruch Hu exclusively, just like when a man is Mekadesh a woman. Based on this, each and every action we perform is really all to be for the sake of Hashem, and not for anything else, including ourselves.</w:t>
      </w:r>
      <w:r w:rsidRPr="008813DB">
        <w:rPr>
          <w:rFonts w:ascii="Verdana" w:hAnsi="Verdana"/>
          <w:kern w:val="2"/>
          <w:sz w:val="17"/>
          <w:szCs w:val="17"/>
          <w14:ligatures w14:val="standardContextual"/>
        </w:rPr>
        <w:t xml:space="preserve"> This is not an easy level to achieve, but it is one we must all strive for. Step by step we must seek to achieve this. Even when one is taking care of his personal needs, it should be </w:t>
      </w:r>
      <w:r w:rsidRPr="008813DB">
        <w:rPr>
          <w:rFonts w:ascii="Verdana" w:hAnsi="Verdana"/>
          <w:kern w:val="2"/>
          <w:sz w:val="17"/>
          <w:szCs w:val="17"/>
          <w14:ligatures w14:val="standardContextual"/>
        </w:rPr>
        <w:t>done so that he should be prepared to serve Hakodosh Baruch Hu. One must seek to divest himself as much as possible from matters of Gashmiyos, so that he can come close to Hakodosh Baruch Hu. The more one removes himself from Gashmiyos, the closer he can come in Ruchniyos to Hakodosh Baruch Hu. One needs to take care of his physical being, but it is to be done all for the sake of Hakodosh Baruch Hu. This is what the Midrash is telling us about the relationship between Hakodosh Baruch Hu and Klal Yisroel</w:t>
      </w:r>
      <w:r w:rsidR="00940E5E" w:rsidRPr="008813DB">
        <w:rPr>
          <w:rFonts w:ascii="Verdana" w:hAnsi="Verdana"/>
          <w:kern w:val="2"/>
          <w:sz w:val="17"/>
          <w:szCs w:val="17"/>
          <w14:ligatures w14:val="standardContextual"/>
        </w:rPr>
        <w:t>.</w:t>
      </w:r>
      <w:r w:rsidRPr="008813DB">
        <w:rPr>
          <w:rFonts w:ascii="Verdana" w:hAnsi="Verdana"/>
          <w:kern w:val="2"/>
          <w:sz w:val="17"/>
          <w:szCs w:val="17"/>
          <w14:ligatures w14:val="standardContextual"/>
        </w:rPr>
        <w:t xml:space="preserve"> Hakodosh Baruch Hu gave us </w:t>
      </w:r>
      <w:r w:rsidR="00940E5E" w:rsidRPr="008813DB">
        <w:rPr>
          <w:rFonts w:ascii="Verdana" w:hAnsi="Verdana"/>
          <w:kern w:val="2"/>
          <w:sz w:val="17"/>
          <w:szCs w:val="17"/>
          <w14:ligatures w14:val="standardContextual"/>
        </w:rPr>
        <w:t xml:space="preserve">only </w:t>
      </w:r>
      <w:r w:rsidRPr="008813DB">
        <w:rPr>
          <w:rFonts w:ascii="Verdana" w:hAnsi="Verdana"/>
          <w:kern w:val="2"/>
          <w:sz w:val="17"/>
          <w:szCs w:val="17"/>
          <w14:ligatures w14:val="standardContextual"/>
        </w:rPr>
        <w:t xml:space="preserve">the moon now. We are in a state of </w:t>
      </w:r>
      <w:r w:rsidRPr="008813DB">
        <w:rPr>
          <w:rFonts w:ascii="Verdana" w:hAnsi="Verdana"/>
          <w:kern w:val="2"/>
          <w:sz w:val="17"/>
          <w:szCs w:val="17"/>
          <w:rtl/>
          <w14:ligatures w14:val="standardContextual"/>
        </w:rPr>
        <w:t>אירוסין</w:t>
      </w:r>
      <w:r w:rsidRPr="008813DB">
        <w:rPr>
          <w:rFonts w:ascii="Verdana" w:hAnsi="Verdana"/>
          <w:kern w:val="2"/>
          <w:sz w:val="17"/>
          <w:szCs w:val="17"/>
          <w14:ligatures w14:val="standardContextual"/>
        </w:rPr>
        <w:t xml:space="preserve">, betrothal, and Hakodosh Baruch Hu only gave us the moon. This represents </w:t>
      </w:r>
      <w:r w:rsidR="00940E5E" w:rsidRPr="008813DB">
        <w:rPr>
          <w:rFonts w:ascii="Verdana" w:hAnsi="Verdana"/>
          <w:kern w:val="2"/>
          <w:sz w:val="17"/>
          <w:szCs w:val="17"/>
          <w14:ligatures w14:val="standardContextual"/>
        </w:rPr>
        <w:t>when</w:t>
      </w:r>
      <w:r w:rsidRPr="008813DB">
        <w:rPr>
          <w:rFonts w:ascii="Verdana" w:hAnsi="Verdana"/>
          <w:kern w:val="2"/>
          <w:sz w:val="17"/>
          <w:szCs w:val="17"/>
          <w14:ligatures w14:val="standardContextual"/>
        </w:rPr>
        <w:t xml:space="preserve"> the moon gets larger and smaller – more and less. We must work on the balance, of doing what we need for our Gashmiyos, but at the same time seeking to remove ourselves as much as possible, so that we can become Kodosh to Hashem. We need to run away from the Gashmiyos, as well as from sins, so that we can come close to Hashem. This is in Olam Hazeh, while in Olam Habah, it is the next stage of a </w:t>
      </w:r>
      <w:proofErr w:type="spellStart"/>
      <w:r w:rsidRPr="008813DB">
        <w:rPr>
          <w:rFonts w:ascii="Verdana" w:hAnsi="Verdana"/>
          <w:kern w:val="2"/>
          <w:sz w:val="17"/>
          <w:szCs w:val="17"/>
          <w14:ligatures w14:val="standardContextual"/>
        </w:rPr>
        <w:t>Nisuin</w:t>
      </w:r>
      <w:proofErr w:type="spellEnd"/>
      <w:r w:rsidRPr="008813DB">
        <w:rPr>
          <w:rFonts w:ascii="Verdana" w:hAnsi="Verdana"/>
          <w:kern w:val="2"/>
          <w:sz w:val="17"/>
          <w:szCs w:val="17"/>
          <w14:ligatures w14:val="standardContextual"/>
        </w:rPr>
        <w:t xml:space="preserve">, of marriage, and there </w:t>
      </w:r>
      <w:proofErr w:type="spellStart"/>
      <w:r w:rsidRPr="008813DB">
        <w:rPr>
          <w:rFonts w:ascii="Verdana" w:hAnsi="Verdana"/>
          <w:kern w:val="2"/>
          <w:sz w:val="17"/>
          <w:szCs w:val="17"/>
          <w14:ligatures w14:val="standardContextual"/>
        </w:rPr>
        <w:t>there</w:t>
      </w:r>
      <w:proofErr w:type="spellEnd"/>
      <w:r w:rsidRPr="008813DB">
        <w:rPr>
          <w:rFonts w:ascii="Verdana" w:hAnsi="Verdana"/>
          <w:kern w:val="2"/>
          <w:sz w:val="17"/>
          <w:szCs w:val="17"/>
          <w14:ligatures w14:val="standardContextual"/>
        </w:rPr>
        <w:t xml:space="preserve"> is no running away from anything, but all direct connection to Hakodosh Baruch Hu. It is there that “The wise will shine like the radiance of the firmament.” </w:t>
      </w:r>
      <w:r w:rsidR="00D665DA" w:rsidRPr="008813DB">
        <w:rPr>
          <w:rFonts w:ascii="Verdana" w:hAnsi="Verdana"/>
          <w:kern w:val="2"/>
          <w:sz w:val="17"/>
          <w:szCs w:val="17"/>
          <w14:ligatures w14:val="standardContextual"/>
        </w:rPr>
        <w:t>(</w:t>
      </w:r>
      <w:r w:rsidR="00D665DA" w:rsidRPr="008813DB">
        <w:rPr>
          <w:rFonts w:ascii="Verdana" w:hAnsi="Verdana"/>
          <w:kern w:val="2"/>
          <w:sz w:val="17"/>
          <w:szCs w:val="17"/>
          <w:rtl/>
          <w14:ligatures w14:val="standardContextual"/>
        </w:rPr>
        <w:t>שם משמואל</w:t>
      </w:r>
      <w:r w:rsidR="00D665DA" w:rsidRPr="008813DB">
        <w:rPr>
          <w:rFonts w:ascii="Verdana" w:hAnsi="Verdana"/>
          <w:kern w:val="2"/>
          <w:sz w:val="17"/>
          <w:szCs w:val="17"/>
          <w14:ligatures w14:val="standardContextual"/>
        </w:rPr>
        <w:t>)</w:t>
      </w:r>
    </w:p>
    <w:p w14:paraId="03D65D23" w14:textId="566705BE" w:rsidR="00FE4B8A" w:rsidRPr="008813DB" w:rsidRDefault="00E0053E" w:rsidP="008813DB">
      <w:pPr>
        <w:spacing w:after="0" w:line="286" w:lineRule="auto"/>
        <w:jc w:val="both"/>
        <w:rPr>
          <w:rFonts w:ascii="Verdana" w:hAnsi="Verdana"/>
          <w:b/>
          <w:bCs/>
          <w:sz w:val="17"/>
          <w:szCs w:val="17"/>
        </w:rPr>
      </w:pPr>
      <w:r w:rsidRPr="008813DB">
        <w:rPr>
          <w:rFonts w:ascii="Verdana" w:hAnsi="Verdana"/>
          <w:sz w:val="17"/>
          <w:szCs w:val="17"/>
        </w:rPr>
        <w:tab/>
      </w:r>
      <w:r w:rsidR="00D875F9" w:rsidRPr="008813DB">
        <w:rPr>
          <w:rFonts w:ascii="Verdana" w:hAnsi="Verdana"/>
          <w:b/>
          <w:bCs/>
          <w:sz w:val="17"/>
          <w:szCs w:val="17"/>
        </w:rPr>
        <w:t>The first month of the year, Nisan, the new moon</w:t>
      </w:r>
      <w:r w:rsidR="004E52C1" w:rsidRPr="008813DB">
        <w:rPr>
          <w:rFonts w:ascii="Verdana" w:hAnsi="Verdana"/>
          <w:b/>
          <w:bCs/>
          <w:sz w:val="17"/>
          <w:szCs w:val="17"/>
        </w:rPr>
        <w:t xml:space="preserve"> - t</w:t>
      </w:r>
      <w:r w:rsidR="00D875F9" w:rsidRPr="008813DB">
        <w:rPr>
          <w:rFonts w:ascii="Verdana" w:hAnsi="Verdana"/>
          <w:b/>
          <w:bCs/>
          <w:sz w:val="17"/>
          <w:szCs w:val="17"/>
        </w:rPr>
        <w:t xml:space="preserve">hese are signs of renewal. The </w:t>
      </w:r>
      <w:proofErr w:type="spellStart"/>
      <w:r w:rsidR="00D875F9" w:rsidRPr="008813DB">
        <w:rPr>
          <w:rFonts w:ascii="Verdana" w:hAnsi="Verdana"/>
          <w:b/>
          <w:bCs/>
          <w:sz w:val="17"/>
          <w:szCs w:val="17"/>
        </w:rPr>
        <w:t>Eirusin</w:t>
      </w:r>
      <w:proofErr w:type="spellEnd"/>
      <w:r w:rsidR="00D875F9" w:rsidRPr="008813DB">
        <w:rPr>
          <w:rFonts w:ascii="Verdana" w:hAnsi="Verdana"/>
          <w:b/>
          <w:bCs/>
          <w:sz w:val="17"/>
          <w:szCs w:val="17"/>
        </w:rPr>
        <w:t xml:space="preserve"> part of marriage is a time of freshness. Everything is new and exciting. It is a time of courtship. This is what we must do with our relationship with the Ribbono Shel Olam. We must see it as new and exciting at all times. We must “court” Hakodosh Baruch Hu, do what He says, and more than that, do what He wants, even if He doesn’t say it – even if it is not obligated. Every Shabbos Kodesh</w:t>
      </w:r>
      <w:r w:rsidR="00A750EC" w:rsidRPr="008813DB">
        <w:rPr>
          <w:rFonts w:ascii="Verdana" w:hAnsi="Verdana"/>
          <w:b/>
          <w:bCs/>
          <w:sz w:val="17"/>
          <w:szCs w:val="17"/>
        </w:rPr>
        <w:t>,</w:t>
      </w:r>
      <w:r w:rsidR="00D875F9" w:rsidRPr="008813DB">
        <w:rPr>
          <w:rFonts w:ascii="Verdana" w:hAnsi="Verdana"/>
          <w:b/>
          <w:bCs/>
          <w:sz w:val="17"/>
          <w:szCs w:val="17"/>
        </w:rPr>
        <w:t xml:space="preserve"> we are Zoche to have a renewal. We once again receive our Neshama Yeseira, which brings us close to the Ribbono Shel Olam. May we be Zoche to tap into the constant newness, and keep our relationship with the Ribbono Shel Olam with great excitement and vigor. </w:t>
      </w:r>
    </w:p>
    <w:sectPr w:rsidR="00FE4B8A" w:rsidRPr="008813DB" w:rsidSect="008813DB">
      <w:type w:val="continuous"/>
      <w:pgSz w:w="12240" w:h="15840"/>
      <w:pgMar w:top="720" w:right="720" w:bottom="720" w:left="720" w:header="720" w:footer="720" w:gutter="0"/>
      <w:pgBorders w:offsetFrom="page">
        <w:top w:val="single" w:sz="24" w:space="24" w:color="auto"/>
        <w:left w:val="single" w:sz="24" w:space="24" w:color="auto"/>
        <w:bottom w:val="single" w:sz="24" w:space="24" w:color="auto"/>
        <w:right w:val="single" w:sz="24" w:space="24" w:color="auto"/>
      </w:pgBorders>
      <w:cols w:num="3" w:space="28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2E05F" w14:textId="77777777" w:rsidR="00B85A3B" w:rsidRDefault="00B85A3B" w:rsidP="008813DB">
      <w:pPr>
        <w:spacing w:after="0" w:line="240" w:lineRule="auto"/>
      </w:pPr>
      <w:r>
        <w:separator/>
      </w:r>
    </w:p>
  </w:endnote>
  <w:endnote w:type="continuationSeparator" w:id="0">
    <w:p w14:paraId="1BBE809B" w14:textId="77777777" w:rsidR="00B85A3B" w:rsidRDefault="00B85A3B" w:rsidP="008813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FFC4B" w14:textId="1534188D" w:rsidR="008813DB" w:rsidRPr="008813DB" w:rsidRDefault="008813DB" w:rsidP="008813DB">
    <w:pPr>
      <w:tabs>
        <w:tab w:val="center" w:pos="4680"/>
        <w:tab w:val="right" w:pos="9360"/>
      </w:tabs>
      <w:spacing w:after="0" w:line="240" w:lineRule="auto"/>
      <w:jc w:val="center"/>
      <w:rPr>
        <w:sz w:val="16"/>
        <w:szCs w:val="16"/>
      </w:rPr>
    </w:pPr>
    <w:r w:rsidRPr="008813DB">
      <w:rPr>
        <w:rFonts w:ascii="Calibri" w:eastAsia="Calibri" w:hAnsi="Calibri" w:cs="Arial"/>
        <w:sz w:val="16"/>
        <w:szCs w:val="16"/>
      </w:rPr>
      <w:t xml:space="preserve">For Seforim sponsorship opportunities or to receive a free weekly </w:t>
    </w:r>
    <w:r w:rsidRPr="008813DB">
      <w:rPr>
        <w:rFonts w:ascii="Calibri" w:eastAsia="Calibri" w:hAnsi="Calibri" w:cs="Arial"/>
        <w:i/>
        <w:sz w:val="16"/>
        <w:szCs w:val="16"/>
      </w:rPr>
      <w:t>Dvar Torah</w:t>
    </w:r>
    <w:r w:rsidRPr="008813DB">
      <w:rPr>
        <w:rFonts w:ascii="Calibri" w:eastAsia="Calibri" w:hAnsi="Calibri" w:cs="Arial"/>
        <w:sz w:val="16"/>
        <w:szCs w:val="16"/>
      </w:rPr>
      <w:t xml:space="preserve"> on the </w:t>
    </w:r>
    <w:r w:rsidRPr="008813DB">
      <w:rPr>
        <w:rFonts w:ascii="Calibri" w:eastAsia="Calibri" w:hAnsi="Calibri" w:cs="Arial"/>
        <w:i/>
        <w:sz w:val="16"/>
        <w:szCs w:val="16"/>
      </w:rPr>
      <w:t>Parsha</w:t>
    </w:r>
    <w:r w:rsidRPr="008813DB">
      <w:rPr>
        <w:rFonts w:ascii="Calibri" w:eastAsia="Calibri" w:hAnsi="Calibri" w:cs="Arial"/>
        <w:sz w:val="16"/>
        <w:szCs w:val="16"/>
      </w:rPr>
      <w:t xml:space="preserve">- Please email: </w:t>
    </w:r>
    <w:hyperlink r:id="rId1" w:history="1">
      <w:r w:rsidRPr="008813DB">
        <w:rPr>
          <w:rFonts w:ascii="Calibri" w:eastAsia="Calibri" w:hAnsi="Calibri" w:cs="Arial"/>
          <w:color w:val="0000FF"/>
          <w:sz w:val="16"/>
          <w:szCs w:val="16"/>
          <w:u w:val="single"/>
        </w:rPr>
        <w:t>GanHaTorah53@gmail.com</w:t>
      </w:r>
    </w:hyperlink>
    <w:r w:rsidRPr="008813DB">
      <w:rPr>
        <w:rFonts w:ascii="Calibri" w:eastAsia="Calibri" w:hAnsi="Calibri" w:cs="Arial"/>
        <w:sz w:val="16"/>
        <w:szCs w:val="16"/>
      </w:rPr>
      <w:t xml:space="preserve">  Thank you, Y. Schechter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A9FFF" w14:textId="77777777" w:rsidR="00B85A3B" w:rsidRDefault="00B85A3B" w:rsidP="008813DB">
      <w:pPr>
        <w:spacing w:after="0" w:line="240" w:lineRule="auto"/>
      </w:pPr>
      <w:r>
        <w:separator/>
      </w:r>
    </w:p>
  </w:footnote>
  <w:footnote w:type="continuationSeparator" w:id="0">
    <w:p w14:paraId="7F769ECA" w14:textId="77777777" w:rsidR="00B85A3B" w:rsidRDefault="00B85A3B" w:rsidP="008813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2B7A6" w14:textId="478BFA12" w:rsidR="008813DB" w:rsidRPr="008813DB" w:rsidRDefault="008813DB" w:rsidP="008813DB">
    <w:pPr>
      <w:tabs>
        <w:tab w:val="center" w:pos="4680"/>
        <w:tab w:val="center" w:pos="5400"/>
        <w:tab w:val="right" w:pos="9360"/>
        <w:tab w:val="right" w:pos="10800"/>
      </w:tabs>
      <w:spacing w:after="0" w:line="240" w:lineRule="auto"/>
      <w:rPr>
        <w:sz w:val="15"/>
        <w:szCs w:val="15"/>
      </w:rPr>
    </w:pPr>
    <w:r w:rsidRPr="008813DB">
      <w:rPr>
        <w:rFonts w:ascii="Calibri" w:eastAsia="Calibri" w:hAnsi="Calibri" w:cs="Arial"/>
        <w:sz w:val="15"/>
        <w:szCs w:val="15"/>
        <w:rtl/>
      </w:rPr>
      <w:tab/>
    </w:r>
    <w:r w:rsidRPr="008813DB">
      <w:rPr>
        <w:rFonts w:ascii="Calibri" w:eastAsia="Calibri" w:hAnsi="Calibri" w:cs="Arial" w:hint="cs"/>
        <w:sz w:val="15"/>
        <w:szCs w:val="15"/>
        <w:rtl/>
      </w:rPr>
      <w:t xml:space="preserve">               </w:t>
    </w:r>
    <w:r w:rsidRPr="008813DB">
      <w:rPr>
        <w:rFonts w:ascii="Calibri" w:eastAsia="Calibri" w:hAnsi="Calibri" w:cs="Arial"/>
        <w:sz w:val="15"/>
        <w:szCs w:val="15"/>
        <w:rtl/>
        <w:lang w:bidi="ar-SA"/>
      </w:rPr>
      <w:t xml:space="preserve">לזכר נשמת העניא בת ר' גרשון </w:t>
    </w:r>
    <w:r w:rsidRPr="008813DB">
      <w:rPr>
        <w:rFonts w:ascii="Calibri" w:eastAsia="Calibri" w:hAnsi="Calibri" w:cs="Arial" w:hint="cs"/>
        <w:sz w:val="15"/>
        <w:szCs w:val="15"/>
        <w:rtl/>
      </w:rPr>
      <w:t xml:space="preserve">   </w:t>
    </w:r>
    <w:r w:rsidRPr="008813DB">
      <w:rPr>
        <w:rFonts w:ascii="Calibri" w:eastAsia="Calibri" w:hAnsi="Calibri" w:cs="Arial"/>
        <w:sz w:val="15"/>
        <w:szCs w:val="15"/>
        <w:rtl/>
        <w:lang w:bidi="ar-SA"/>
      </w:rPr>
      <w:t xml:space="preserve"> לזכות רפואה שלימה </w:t>
    </w:r>
    <w:r w:rsidRPr="008813DB">
      <w:rPr>
        <w:rFonts w:ascii="Calibri" w:eastAsia="Calibri" w:hAnsi="Calibri" w:cs="Arial" w:hint="cs"/>
        <w:sz w:val="15"/>
        <w:szCs w:val="15"/>
        <w:rtl/>
      </w:rPr>
      <w:t>ר'</w:t>
    </w:r>
    <w:r w:rsidRPr="008813DB">
      <w:rPr>
        <w:rFonts w:ascii="Calibri" w:eastAsia="Calibri" w:hAnsi="Calibri" w:cs="Arial"/>
        <w:sz w:val="15"/>
        <w:szCs w:val="15"/>
        <w:rtl/>
        <w:lang w:bidi="ar-SA"/>
      </w:rPr>
      <w:t xml:space="preserve"> </w:t>
    </w:r>
    <w:r w:rsidRPr="008813DB">
      <w:rPr>
        <w:rFonts w:ascii="Calibri" w:eastAsia="Calibri" w:hAnsi="Calibri" w:cs="Arial" w:hint="cs"/>
        <w:sz w:val="15"/>
        <w:szCs w:val="15"/>
        <w:rtl/>
      </w:rPr>
      <w:t>ישכר דוב בן מאלא פרומעט</w:t>
    </w:r>
    <w:r w:rsidRPr="008813DB">
      <w:rPr>
        <w:rFonts w:ascii="Calibri" w:eastAsia="Calibri" w:hAnsi="Calibri" w:cs="Arial"/>
        <w:sz w:val="15"/>
        <w:szCs w:val="15"/>
        <w:rtl/>
        <w:lang w:bidi="ar-SA"/>
      </w:rPr>
      <w:t xml:space="preserve">  </w:t>
    </w:r>
    <w:r w:rsidRPr="008813DB">
      <w:rPr>
        <w:rFonts w:ascii="Calibri" w:eastAsia="Calibri" w:hAnsi="Calibri" w:cs="Arial" w:hint="cs"/>
        <w:sz w:val="15"/>
        <w:szCs w:val="15"/>
        <w:rtl/>
      </w:rPr>
      <w:t xml:space="preserve">      </w:t>
    </w:r>
    <w:r w:rsidRPr="008813DB">
      <w:rPr>
        <w:rFonts w:ascii="Calibri" w:eastAsia="Calibri" w:hAnsi="Calibri" w:cs="Arial"/>
        <w:sz w:val="15"/>
        <w:szCs w:val="15"/>
        <w:rtl/>
        <w:lang w:bidi="ar-SA"/>
      </w:rPr>
      <w:t xml:space="preserve"> לזכות רפואה שלימה אסתר בת </w:t>
    </w:r>
    <w:r w:rsidRPr="008813DB">
      <w:rPr>
        <w:rFonts w:ascii="Calibri" w:eastAsia="Calibri" w:hAnsi="Calibri" w:cs="Arial" w:hint="cs"/>
        <w:sz w:val="15"/>
        <w:szCs w:val="15"/>
        <w:rtl/>
      </w:rPr>
      <w:t xml:space="preserve">מרים                                </w:t>
    </w:r>
    <w:r w:rsidRPr="008813DB">
      <w:rPr>
        <w:rFonts w:ascii="Calibri" w:eastAsia="Calibri" w:hAnsi="Calibri" w:cs="Arial"/>
        <w:sz w:val="15"/>
        <w:szCs w:val="15"/>
        <w:rtl/>
      </w:rPr>
      <w:tab/>
    </w:r>
    <w:r w:rsidRPr="008813DB">
      <w:rPr>
        <w:rFonts w:ascii="Calibri" w:eastAsia="Calibri" w:hAnsi="Calibri" w:cs="Arial"/>
        <w:sz w:val="15"/>
        <w:szCs w:val="15"/>
        <w:rtl/>
      </w:rPr>
      <w:tab/>
    </w:r>
    <w:r w:rsidRPr="008813DB">
      <w:rPr>
        <w:rFonts w:ascii="Calibri" w:eastAsia="Calibri" w:hAnsi="Calibri" w:cs="Arial" w:hint="cs"/>
        <w:sz w:val="15"/>
        <w:szCs w:val="15"/>
        <w:rtl/>
      </w:rPr>
      <w:t>בס"ד</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comment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B8A"/>
    <w:rsid w:val="002405EF"/>
    <w:rsid w:val="00400A8B"/>
    <w:rsid w:val="004829F8"/>
    <w:rsid w:val="004E52C1"/>
    <w:rsid w:val="0067798D"/>
    <w:rsid w:val="007D0A3C"/>
    <w:rsid w:val="007E3948"/>
    <w:rsid w:val="008813DB"/>
    <w:rsid w:val="00940E5E"/>
    <w:rsid w:val="00A17262"/>
    <w:rsid w:val="00A5058D"/>
    <w:rsid w:val="00A750EC"/>
    <w:rsid w:val="00A8598C"/>
    <w:rsid w:val="00B22AFB"/>
    <w:rsid w:val="00B85A3B"/>
    <w:rsid w:val="00CA4766"/>
    <w:rsid w:val="00D665DA"/>
    <w:rsid w:val="00D875F9"/>
    <w:rsid w:val="00DE55B5"/>
    <w:rsid w:val="00E0053E"/>
    <w:rsid w:val="00E66DF1"/>
    <w:rsid w:val="00FE4B8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F35EB"/>
  <w15:chartTrackingRefBased/>
  <w15:docId w15:val="{E856E170-86E8-475F-9E62-714B7B31E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813D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13DB"/>
  </w:style>
  <w:style w:type="paragraph" w:styleId="Footer">
    <w:name w:val="footer"/>
    <w:basedOn w:val="Normal"/>
    <w:link w:val="FooterChar"/>
    <w:uiPriority w:val="99"/>
    <w:unhideWhenUsed/>
    <w:rsid w:val="008813D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13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GanHaTorah53@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1</Pages>
  <Words>897</Words>
  <Characters>5116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Schechter</dc:creator>
  <cp:keywords/>
  <dc:description/>
  <cp:lastModifiedBy>Yaakov Schechter</cp:lastModifiedBy>
  <cp:revision>6</cp:revision>
  <cp:lastPrinted>2025-12-18T03:27:00Z</cp:lastPrinted>
  <dcterms:created xsi:type="dcterms:W3CDTF">2025-12-18T03:32:00Z</dcterms:created>
  <dcterms:modified xsi:type="dcterms:W3CDTF">2026-01-28T04:54:00Z</dcterms:modified>
</cp:coreProperties>
</file>